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36" w:lineRule="auto"/>
        <w:rPr>
          <w:rFonts w:ascii="黑体" w:hAnsi="黑体" w:eastAsia="黑体" w:cs="Times New Roman"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kern w:val="36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300" w:lineRule="auto"/>
        <w:rPr>
          <w:rFonts w:ascii="黑体" w:hAnsi="黑体" w:eastAsia="黑体" w:cs="Times New Roman"/>
          <w:bCs/>
          <w:kern w:val="36"/>
          <w:sz w:val="32"/>
          <w:szCs w:val="32"/>
        </w:rPr>
      </w:pPr>
    </w:p>
    <w:p>
      <w:pPr>
        <w:overflowPunct w:val="0"/>
        <w:adjustRightInd w:val="0"/>
        <w:snapToGrid w:val="0"/>
        <w:spacing w:line="300" w:lineRule="auto"/>
        <w:ind w:firstLine="880" w:firstLineChars="200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社会组织调研专项课题参考研究方向</w:t>
      </w:r>
    </w:p>
    <w:p>
      <w:pPr>
        <w:overflowPunct w:val="0"/>
        <w:adjustRightInd w:val="0"/>
        <w:snapToGrid w:val="0"/>
        <w:spacing w:line="300" w:lineRule="auto"/>
        <w:ind w:firstLine="640" w:firstLineChars="200"/>
        <w:jc w:val="center"/>
        <w:rPr>
          <w:rFonts w:ascii="楷体_GB2312" w:hAnsi="Times New Roman" w:eastAsia="楷体_GB2312" w:cs="Times New Roman"/>
          <w:bCs/>
          <w:kern w:val="36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kern w:val="36"/>
          <w:sz w:val="32"/>
          <w:szCs w:val="32"/>
        </w:rPr>
        <w:t>（包括但不限于）</w:t>
      </w:r>
    </w:p>
    <w:tbl>
      <w:tblPr>
        <w:tblStyle w:val="2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36"/>
                <w:sz w:val="28"/>
                <w:szCs w:val="28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习近平新时代中国特色社会主义思想的内在逻辑研究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优化数字治理生态的法治对策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海洋文化旅游融合发展赋能海岛共同富裕研究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浙江省域国际形象构建与传播研究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“千万工程”赋能乡村全面振兴的实践与经验总结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宋韵文化的国际传播研究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提升长三角民营经济高质量发展水平的对策研究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浙江省地方财政实现高质量发展的对策研究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人口老龄化对城乡融合发展的影响与对策思路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新时代法治政府建设的战略定位、实践发展与前瞻研究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公共服务均等化推进共同富裕的理论构建与路径研究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浙江省“可持续发展”营商环境的优化路径研究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促进经济高质量发展的营商环境结构优化与制度创新研究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数字赋能营商环境改革的实践与机理研究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惠企政策“撒胡椒面”的原因和对策研究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打造浙江特色现代化产业体系研究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新发展格局下“地瓜经济”提能升级路径研究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数字基础设施建设对制造业国际竞争力的影响研究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数字化改革赋能浙江省高质量充分就业的实现路径和促进对策研究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数字经济推动产业链供应链现代化水平提升的机制研究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4E"/>
    <w:rsid w:val="004F1C87"/>
    <w:rsid w:val="00B8154E"/>
    <w:rsid w:val="00FD7E2B"/>
    <w:rsid w:val="6D3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2023-04-26T06:15:00Z</dcterms:created>
  <dc:creator>汪泓</dc:creator>
  <cp:lastModifiedBy>A</cp:lastModifiedBy>
  <dcterms:modified xsi:type="dcterms:W3CDTF">2023-04-28T08:16:58Z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