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年度浙江省人力资源和社会保障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课题选题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指南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rPr>
          <w:rFonts w:hint="eastAsia" w:ascii="楷体_GB2312" w:hAnsi="仿宋_GB2312" w:eastAsia="楷体_GB2312" w:cs="仿宋_GB2312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一、重点课题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省外劳动力在浙稳定就业问题研究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高标准零工市场体系建设研究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共同富裕背景下推动“劳有所得”发展思路和路径研究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4.我省多层次多支柱养老保险体系相关问题研究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我省人力资源服务业发展思路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与路径研究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唱好“双城记”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杭甬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建设人才高地研究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7.教育科技人才三位一体支撑高质量发展的浙江实践研究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职业技能培训体制机制创新研究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9.一流技师学院建设理论与实践研究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新就业形态劳动者权益保障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相关问题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集体协商框架下企业职工工资共同决定机制研究</w:t>
      </w:r>
    </w:p>
    <w:p>
      <w:pPr>
        <w:spacing w:line="600" w:lineRule="exact"/>
        <w:ind w:firstLine="640"/>
        <w:rPr>
          <w:rFonts w:hint="eastAsia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有企业工资总额决定及分配机制研究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一般课题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（一）就业创业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1.高质量就业创业评价体系研究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2.我省就业形势分析及对策研究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先进制造业就业高质量发展研究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灵活就业统计监测路径研究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.重点群体就业支持体系研究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社会组织促进就业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7.促进重点群体创业思路举措研究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8.创业服务体系建设研究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9.创业孵化基地建设研究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10.返乡入乡合作创业研究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11.就业歧视问题研究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2.就业困难人员兜底帮扶调查研究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.公益性岗位提质扩容研究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.超龄农民工就业权益维护研究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建设统一规范的人力资源市场相关问题研究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公共服务“劳有所得”评价体系研究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就业创业政策国际比较研究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 w:cs="Times New Roman"/>
          <w:sz w:val="32"/>
          <w:szCs w:val="32"/>
          <w:lang w:eastAsia="zh-CN"/>
        </w:rPr>
      </w:pPr>
      <w:r>
        <w:rPr>
          <w:rFonts w:hint="eastAsia" w:ascii="楷体_GB2312" w:hAnsi="黑体" w:eastAsia="楷体_GB2312" w:cs="Times New Roman"/>
          <w:sz w:val="32"/>
          <w:szCs w:val="32"/>
          <w:lang w:eastAsia="zh-CN"/>
        </w:rPr>
        <w:t>（二）社会保障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1.我省养老保险制度高质量可持续发展路径研究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2.我省城乡居民养老保险制度相关问题研究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3.企业职工养老保险参保扩面机制优化研究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4.完善优化我省企业年金制度相关问题研究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5.我省第三支柱个人养老保险发展相关问题研究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6.我省工伤保险省级统筹相关问题研究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7.我省工伤预防体系建设相关问题研究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8.我省失业保险省级统筹相关问题研究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9.我省社会保险基金风险治理研究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10.社会保险经办能力提升优化研究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社会保险政策国际比较研究</w:t>
      </w:r>
    </w:p>
    <w:p>
      <w:pPr>
        <w:pStyle w:val="5"/>
        <w:widowControl/>
        <w:spacing w:before="0" w:beforeAutospacing="0" w:after="0" w:afterAutospacing="0" w:line="600" w:lineRule="exact"/>
        <w:ind w:left="640"/>
        <w:rPr>
          <w:rFonts w:hint="eastAsia" w:ascii="仿宋_GB2312" w:hAnsi="仿宋_GB2312" w:eastAsia="楷体_GB2312" w:cs="仿宋_GB2312"/>
          <w:kern w:val="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（三）人事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  <w:lang w:eastAsia="zh-CN"/>
        </w:rPr>
        <w:t>人才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人力资源服务产业园高质量发展对策研究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2.新型研发机构人才体制机制创新研究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留学人员创业园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高质量发展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.我省青年人才创新创业对策研究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博士后工作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.专家服务助力山区26县高质量发展对策研究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7.专家服务基地发展情况及对策建议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.我省技工院校高水平专业群建设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对策研究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技工院校工学一体化技能人才培养模式研究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建技工院校“三全育人”新格局的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11.中国特色学徒制运行机制及成效研究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市域（县域）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技能型社会建设实践研究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.技工院校教学体系与技能大赛标准体系衔接问题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.技能和技术人才职业发展贯通制度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职业技能等级“新八级”制度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人才政策国际比较研究</w:t>
      </w:r>
    </w:p>
    <w:p>
      <w:pPr>
        <w:pStyle w:val="5"/>
        <w:widowControl/>
        <w:spacing w:before="0" w:beforeAutospacing="0" w:after="0" w:afterAutospacing="0" w:line="600" w:lineRule="exact"/>
        <w:ind w:left="640"/>
        <w:rPr>
          <w:rFonts w:hint="eastAsia" w:ascii="楷体_GB2312" w:hAnsi="仿宋_GB2312" w:eastAsia="楷体_GB2312" w:cs="仿宋_GB2312"/>
          <w:kern w:val="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（四）劳动关系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  <w:lang w:eastAsia="zh-CN"/>
        </w:rPr>
        <w:t>和收入分配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1.高质量和谐劳动关系构建研究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工资集体协商相关问题研究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劳动关系风险预警系统机制研究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.数字劳动关系研究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.企业共享用工问题研究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.扩大中等收入群体的实现路径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.最低工资标准调整评估机制研究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.完善事业单位薪酬分配制度研究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.农民工工资支付兜底保障机制研究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.完善欠薪治理体系研究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.共同富裕背景下我省工资指导线研究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.我省企业工资分配的市场化程度问题及对策研究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劳动关系和收入分配领域相关政策国际比较研究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</w:rPr>
      </w:pPr>
    </w:p>
    <w:p>
      <w:pPr>
        <w:spacing w:line="600" w:lineRule="exact"/>
        <w:ind w:firstLine="640"/>
        <w:rPr>
          <w:rFonts w:hint="eastAsia"/>
          <w:lang w:val="en-US"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本项目指南列示的为研究方向，具体题目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可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由申报人自行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确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定，要避免研究题目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偏离主题</w:t>
      </w: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、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 w:bidi="ar"/>
        </w:rPr>
        <w:t>研究内容空洞宽泛）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E27D97"/>
    <w:multiLevelType w:val="singleLevel"/>
    <w:tmpl w:val="F6E27D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F2F08"/>
    <w:rsid w:val="738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2023-03-03T11:19:00Z</dcterms:created>
  <dc:creator>A</dc:creator>
  <cp:lastModifiedBy>A</cp:lastModifiedBy>
  <dcterms:modified xsi:type="dcterms:W3CDTF">2023-03-03T11:20:16Z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