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DE35C">
      <w:pPr>
        <w:widowControl w:val="0"/>
        <w:autoSpaceDE w:val="0"/>
        <w:autoSpaceDN w:val="0"/>
        <w:spacing w:before="0" w:after="0" w:line="353" w:lineRule="exact"/>
        <w:ind w:left="0" w:right="0" w:firstLine="0"/>
        <w:jc w:val="left"/>
        <w:rPr>
          <w:rFonts w:ascii="Times New Roman"/>
          <w:color w:val="000000"/>
          <w:spacing w:val="0"/>
          <w:sz w:val="32"/>
        </w:rPr>
      </w:pPr>
      <w:bookmarkStart w:id="0" w:name="_GoBack"/>
      <w:r>
        <w:rPr>
          <w:rFonts w:ascii="黑体" w:hAnsi="黑体" w:cs="黑体"/>
          <w:color w:val="000000"/>
          <w:spacing w:val="-1"/>
          <w:sz w:val="32"/>
        </w:rPr>
        <w:t>附件</w:t>
      </w:r>
      <w:r>
        <w:rPr>
          <w:rFonts w:ascii="Times New Roman"/>
          <w:color w:val="000000"/>
          <w:spacing w:val="2"/>
          <w:sz w:val="32"/>
        </w:rPr>
        <w:t xml:space="preserve"> </w:t>
      </w:r>
      <w:r>
        <w:rPr>
          <w:rFonts w:ascii="Times New Roman"/>
          <w:color w:val="000000"/>
          <w:spacing w:val="0"/>
          <w:sz w:val="32"/>
        </w:rPr>
        <w:t>1</w:t>
      </w:r>
    </w:p>
    <w:bookmarkEnd w:id="0"/>
    <w:p w14:paraId="3460F4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ascii="MFENUU+FZXiaoBiaoSong-B05S" w:hAnsi="MFENUU+FZXiaoBiaoSong-B05S" w:cs="MFENUU+FZXiaoBiaoSong-B05S" w:eastAsiaTheme="minorEastAsia"/>
          <w:color w:val="000000"/>
          <w:spacing w:val="0"/>
          <w:kern w:val="0"/>
          <w:sz w:val="44"/>
          <w:szCs w:val="22"/>
          <w:lang w:val="en-US" w:eastAsia="en-US" w:bidi="ar-SA"/>
        </w:rPr>
      </w:pPr>
      <w:r>
        <w:rPr>
          <w:rFonts w:hint="eastAsia" w:ascii="MFENUU+FZXiaoBiaoSong-B05S" w:hAnsi="MFENUU+FZXiaoBiaoSong-B05S" w:cs="MFENUU+FZXiaoBiaoSong-B05S" w:eastAsiaTheme="minorEastAsia"/>
          <w:color w:val="000000"/>
          <w:spacing w:val="0"/>
          <w:kern w:val="0"/>
          <w:sz w:val="44"/>
          <w:szCs w:val="22"/>
          <w:lang w:val="en-US" w:eastAsia="en-US" w:bidi="ar-SA"/>
        </w:rPr>
        <w:t>2026年度浙江省人力资源和社会保障</w:t>
      </w:r>
    </w:p>
    <w:p w14:paraId="7AE2DA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MFENUU+FZXiaoBiaoSong-B05S" w:hAnsi="MFENUU+FZXiaoBiaoSong-B05S" w:cs="MFENUU+FZXiaoBiaoSong-B05S" w:eastAsiaTheme="minorEastAsia"/>
          <w:color w:val="000000"/>
          <w:spacing w:val="0"/>
          <w:kern w:val="0"/>
          <w:sz w:val="44"/>
          <w:szCs w:val="22"/>
          <w:lang w:val="en-US" w:eastAsia="en-US" w:bidi="ar-SA"/>
        </w:rPr>
      </w:pPr>
      <w:r>
        <w:rPr>
          <w:rFonts w:hint="eastAsia" w:ascii="MFENUU+FZXiaoBiaoSong-B05S" w:hAnsi="MFENUU+FZXiaoBiaoSong-B05S" w:cs="MFENUU+FZXiaoBiaoSong-B05S" w:eastAsiaTheme="minorEastAsia"/>
          <w:color w:val="000000"/>
          <w:spacing w:val="0"/>
          <w:kern w:val="0"/>
          <w:sz w:val="44"/>
          <w:szCs w:val="22"/>
          <w:lang w:val="en-US" w:eastAsia="en-US" w:bidi="ar-SA"/>
        </w:rPr>
        <w:t>课题选题指南</w:t>
      </w:r>
    </w:p>
    <w:p w14:paraId="243DC821">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40" w:firstLineChars="200"/>
        <w:jc w:val="left"/>
        <w:textAlignment w:val="auto"/>
        <w:rPr>
          <w:rFonts w:hint="default" w:ascii="Times New Roman" w:hAnsi="Times New Roman" w:eastAsia="宋体" w:cs="Times New Roman"/>
          <w:i w:val="0"/>
          <w:iCs w:val="0"/>
          <w:caps w:val="0"/>
          <w:color w:val="333333"/>
          <w:spacing w:val="0"/>
          <w:sz w:val="32"/>
          <w:szCs w:val="32"/>
          <w:bdr w:val="none" w:color="auto" w:sz="0" w:space="0"/>
          <w:shd w:val="clear" w:fill="FFFFFF"/>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重点课题</w:t>
      </w:r>
    </w:p>
    <w:p w14:paraId="309D2EB1">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rightChars="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（一）完善创业陪跑体系强化创业带动就业能力研究</w:t>
      </w:r>
    </w:p>
    <w:p w14:paraId="1A0E05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主要研究内容：总结我省创业陪跑体系建设成效，深入分析存在的突出问题，找准构建“多维度、全方位、全周期”创业陪跑体系的切入点和关键环节，研究提出以系统性陪跑服务提升创业质量、拓展就业容量、增强就业韧性的政策举措和实施路径。</w:t>
      </w:r>
    </w:p>
    <w:p w14:paraId="21B8CB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（二）完善多元协同重点群体就业精准帮扶体系研究‌</w:t>
      </w:r>
    </w:p>
    <w:p w14:paraId="697384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主要研究内容：总结我省重点群体就业帮扶主要做法，深入分析存在的问题和短板，研究如何推动跨部门、跨层级、跨领域资源高效协同，提出构建动态识别、精准匹配、闭环管理的重点群体就业帮扶创新举措，提升就业帮扶整体效能。</w:t>
      </w:r>
    </w:p>
    <w:p w14:paraId="7BFAEF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（三）人工智能对制造业就业的影响和对策研究</w:t>
      </w:r>
    </w:p>
    <w:p w14:paraId="5521F7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主要研究内容：深入分析研判人工智能发展趋势，调研分析人工智能对我省制造业等重点行业就业的影响，分析就业替代效应和就业创造效应情况，研究提出应对人工智能对制造业就业冲击的针对性对策建议。</w:t>
      </w:r>
    </w:p>
    <w:p w14:paraId="4B9E6C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（四）浙江省科技人才区域协同发展对策研究</w:t>
      </w:r>
    </w:p>
    <w:p w14:paraId="757486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主要研究内容：立足浙江人才战略布局，聚焦实施创新浙江战略，深入分析我省科技人才区域协同发展面临的形势和问题，借鉴国外区域人才协同发展模式与经验，梳理省内各市科技人才梯队分布现状，从机制创新、资源统筹、平台联动等维度提出科技人才差异化协同发展对策建议。</w:t>
      </w:r>
    </w:p>
    <w:p w14:paraId="4E6F71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（五）人力资源服务业赋能先进制造业高质量发展的路径研究</w:t>
      </w:r>
    </w:p>
    <w:p w14:paraId="57A1D7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主要研究内容：围绕我省“415X”先进制造业集群建设，结合先进制造业发展趋势和现实需要，总结人力资源服务业赋能制造业高质量发展的实践做法，深入分析存在的问题与挑战，研究提出人力资源服务业赋能制造业高质量发展的提升路径和对策建议。</w:t>
      </w:r>
    </w:p>
    <w:p w14:paraId="4F366B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（六）新就业形态人员职业伤害保障制度完善研究</w:t>
      </w:r>
    </w:p>
    <w:p w14:paraId="541761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主要研究内容：总结评估全国新就业形态人员职业伤害保障试点成效，深入分析试点运行中的突出问题与产生根源，梳理国内外零工经济从业者职业伤害保障的创新实践与成熟模式，从明确适用范围、差异化缴费机制、职业伤害认定标准、待遇保障体系、基金运行规则、职业伤害预防等方面，研究提出制度优化完善思路及实施路径。</w:t>
      </w:r>
    </w:p>
    <w:p w14:paraId="012CBE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（七）浙江省实施《社会保险法》15周年效果评估与制度完善研究</w:t>
      </w:r>
    </w:p>
    <w:p w14:paraId="2BC194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主要研究内容：系统评估《社会保险法》实施15年来在制度统一、全民覆盖、权益保障、基金安全、经办服务等维度的主要成效与立法目标实现度，聚焦人口老龄化加速、数字经济新业态发展、人口跨区域流动加剧等挑战，深度剖析法律制度供给、基金可持续发展、新业态参保适配等方面问题，提出《社会保险法》修订完善的具体立法建议，以及配套制度优化、治理机制升级的实施路径。</w:t>
      </w:r>
    </w:p>
    <w:p w14:paraId="60CB7F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（八）新就业形态劳动权益救济多元协同保障机制研究</w:t>
      </w:r>
    </w:p>
    <w:p w14:paraId="589FD0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主要研究内容：梳理我国新就业形态劳动权益救济相关法律法规、政策文件与典型司法实践，评估现有救济制度体系的运行实效、适配性水平与适用盲区。总结新就业形态劳动权益救济困境，分析问题根源，借鉴国内外新就业形态劳动权益保障地方立法、司法实践与制度试点经验，提炼本土实践中的可复制经验，提出救济渠道优化和全流程高效运转的系统方案。</w:t>
      </w:r>
    </w:p>
    <w:p w14:paraId="380459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（九）新就业形态劳动者权益保障的省域立法研究</w:t>
      </w:r>
    </w:p>
    <w:p w14:paraId="091884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主要研究内容：系统梳理新就业形态的类型划分、用工模式特征与法律属性，厘清不同用工模式下的法律关系本质；全面梳理相关政策法规、司法实践与立法探索，对比分析不同立法模式的适配性与优劣，总结可借鉴的先行经验。系统分析我省新就业形态劳动者权益保障现状，精准识别存在的难点堵点，明确我省省域立法的核心诉求、重点方向与制度突破空间，明确相关主体法定权责边界，从多个维度提出我省新就业形态劳动者权益保障立法思路和具体举措建议。</w:t>
      </w:r>
    </w:p>
    <w:p w14:paraId="46505A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（十）产业链供应链视角下劳动关系协同治理机制研究</w:t>
      </w:r>
    </w:p>
    <w:p w14:paraId="6E682A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主要研究内容：深刻把握产业链供应链联动发展趋势，选取省内重点产业方向开展系统研究，分析产业链组织模式、生产方式变革与灵活用工全链条渗透对劳动关系格局的系统性影响，厘清全链条劳动关系的主体构成、权责边界与运行逻辑；实证分析链主企业用工合规、薪酬标准、用工模式对上下游配套企业劳动关系的双向影响，识别产业链劳动关系风险的生成、传导机制，找准协同治理卡点堵点，围绕风险监测、联防联控与权益协同保障等机制提出针对性思路建议。</w:t>
      </w:r>
    </w:p>
    <w:p w14:paraId="7C92D8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（十一）人工智能对用工形态变革影响及劳动保障制度完善研究</w:t>
      </w:r>
    </w:p>
    <w:p w14:paraId="5CB009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主要研究内容：系统研判人工智能在各类场景的规模化应用对用工形态产生的变革影响，厘清人工智能驱动下用工模式变化特征与中长期发展趋势，剖析用工形态变革对现行劳动保障制度体系带来的系统性挑战、核心痛点及其深层成因。立足我国国情与技术发展规律，兼顾技术创新激励与劳动者权益保护，提出劳动权益保障制度机制的前瞻性完善思路。</w:t>
      </w:r>
    </w:p>
    <w:p w14:paraId="3A058E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（十二）深化收入分配制度改革促进劳动增收研究</w:t>
      </w:r>
    </w:p>
    <w:p w14:paraId="5C5752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主要研究内容：深入分析“十五五”时期劳动者增收面临的形势和挑战，着眼鼓励劳动者勤劳创新致富，充分发挥劳动增收主渠道作用，从促进就业、扶持创业、提升技能、推动参保、权益保障等方面提出推动劳动增收的思路和对策建议。</w:t>
      </w:r>
    </w:p>
    <w:p w14:paraId="5C59CA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二、一般课题</w:t>
      </w:r>
    </w:p>
    <w:p w14:paraId="65E97C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（一）就业创业</w:t>
      </w:r>
    </w:p>
    <w:p w14:paraId="5C1DEE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1.高质量充分就业动态监测指标体系研究‌</w:t>
      </w:r>
    </w:p>
    <w:p w14:paraId="66B0C7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2.构建就业友好型发展方式研究</w:t>
      </w:r>
    </w:p>
    <w:p w14:paraId="776957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3.促进低成本创业带动就业研究</w:t>
      </w:r>
    </w:p>
    <w:p w14:paraId="204666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4.重大工程重大项目就业影响评估机制研究</w:t>
      </w:r>
    </w:p>
    <w:p w14:paraId="5CD1C4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5.就业导向的技能培训效能提升研究</w:t>
      </w:r>
    </w:p>
    <w:p w14:paraId="55516D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6.劳务品牌全链条培育机制研究</w:t>
      </w:r>
    </w:p>
    <w:p w14:paraId="38D98D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7.就业公共服务高质量发展多元协同与效能评估研究</w:t>
      </w:r>
    </w:p>
    <w:p w14:paraId="475391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8.返乡入乡创业支持体系建设与乡村就业带动效应研究</w:t>
      </w:r>
    </w:p>
    <w:p w14:paraId="56B249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9.青年群体就业稳定性与职业发展路径研究</w:t>
      </w:r>
    </w:p>
    <w:p w14:paraId="26255A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10.基层就业服务站点能力建设与运行机制创新研究</w:t>
      </w:r>
    </w:p>
    <w:p w14:paraId="05ABB4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（二）社会保障</w:t>
      </w:r>
    </w:p>
    <w:p w14:paraId="669D00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1.新就业形态与灵活就业人员参加企业职工基本养老保险的制度适配与模式创新研究‌</w:t>
      </w:r>
    </w:p>
    <w:p w14:paraId="269455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2.高质量参保扩面的动力机制与路径优化研究‌</w:t>
      </w:r>
    </w:p>
    <w:p w14:paraId="7C3A37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3.养老保险基金精算平衡制度机制创新研究</w:t>
      </w:r>
    </w:p>
    <w:p w14:paraId="6D06EB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4.养老金待遇调整机制的公平性与可持续性研究</w:t>
      </w:r>
    </w:p>
    <w:p w14:paraId="6AF1EC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5.城乡居保制度参数优化与长期精算平衡研究</w:t>
      </w:r>
    </w:p>
    <w:p w14:paraId="350327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6.共同富裕背景下养老金替代率的城乡统筹与制度公平研究</w:t>
      </w:r>
    </w:p>
    <w:p w14:paraId="096F09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7.多层次多支柱养老保险体系的协同发展机制研究</w:t>
      </w:r>
    </w:p>
    <w:p w14:paraId="34EECE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8.“预防—康复—补偿”一体化工伤保险服务模式构建与效能评估研究‌</w:t>
      </w:r>
    </w:p>
    <w:p w14:paraId="529111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9.新业态劳动者职业伤害保障试点模式的比较与优化研究</w:t>
      </w:r>
    </w:p>
    <w:p w14:paraId="7047F8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10.灵活就业人员参加失业保险制度探索研究</w:t>
      </w:r>
    </w:p>
    <w:p w14:paraId="6387BC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11.数字化转型驱动下的社保经办服务重塑与管理创新研究</w:t>
      </w:r>
    </w:p>
    <w:p w14:paraId="7A8D72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12.社会保险领域骗保行为的治理机制与风险防控研究</w:t>
      </w:r>
    </w:p>
    <w:p w14:paraId="33D5EA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（三）人才人事</w:t>
      </w:r>
    </w:p>
    <w:p w14:paraId="6A71B1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1.全国统一大市场背景下浙江人力资源服务业提能升级研究</w:t>
      </w:r>
    </w:p>
    <w:p w14:paraId="626F41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2.“投资于人”战略的绩效监测体系与市场化引导机制研究</w:t>
      </w:r>
    </w:p>
    <w:p w14:paraId="34B7D6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3.新质生产力人才的多元评价与协同培养机制研究</w:t>
      </w:r>
    </w:p>
    <w:p w14:paraId="774414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4.人工智能复合型实践型人才培育路径研究</w:t>
      </w:r>
    </w:p>
    <w:p w14:paraId="704E93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5.高层次人才创新创业服务生态集成改革研究</w:t>
      </w:r>
    </w:p>
    <w:p w14:paraId="45636C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6.‌“人才—产业—空间”深度融合导向下的人才需求预测与供给体系研究‌</w:t>
      </w:r>
    </w:p>
    <w:p w14:paraId="0115D1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7.统一规范人力资源大市场的建设标准与运行机制研究‌</w:t>
      </w:r>
    </w:p>
    <w:p w14:paraId="4040B3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8.技能人才与专业技术人才职业发展贯通的政策体系与实践路径研究‌</w:t>
      </w:r>
    </w:p>
    <w:p w14:paraId="35DC8E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9.“银发人才”资源开发与“银发经济”适配性研究</w:t>
      </w:r>
    </w:p>
    <w:p w14:paraId="6D4A5F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10.新质生产力背景下博士后培养模式创新改革研究</w:t>
      </w:r>
    </w:p>
    <w:p w14:paraId="7AD6E6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11.人力资源服务产业园区（集群）的能级提升路径研究</w:t>
      </w:r>
    </w:p>
    <w:p w14:paraId="593500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12.人力资源服务业跨境服务的路径研究</w:t>
      </w:r>
    </w:p>
    <w:p w14:paraId="630E5B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（四）劳动关系</w:t>
      </w:r>
    </w:p>
    <w:p w14:paraId="57A46B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1.新就业形态劳动者权益保障的分类分层治理体系研究‌</w:t>
      </w:r>
    </w:p>
    <w:p w14:paraId="273D50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2.和谐劳动关系指数体系构建与综合应用研究‌</w:t>
      </w:r>
    </w:p>
    <w:p w14:paraId="197EA8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3.超龄劳动者、非全日制劳动者等特殊群体的劳动权益保障与用工管理优化研究‌</w:t>
      </w:r>
    </w:p>
    <w:p w14:paraId="1CD3AE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4.小微企业劳动事务社会化管理（托管）服务的模式与规范研究</w:t>
      </w:r>
    </w:p>
    <w:p w14:paraId="3B50B2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5.人工智能发展对劳动力市场薪酬结构的影响与调整机制研究</w:t>
      </w:r>
    </w:p>
    <w:p w14:paraId="6966E2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6.平台用工算法治理优化机制研究</w:t>
      </w:r>
    </w:p>
    <w:p w14:paraId="3DA0C4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7.多元劳动争议解决机制的效率评估与流程优化研究</w:t>
      </w:r>
    </w:p>
    <w:p w14:paraId="03F133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8.集体协商制度在新业态和中小企业中的拓展与应用研究</w:t>
      </w:r>
    </w:p>
    <w:p w14:paraId="5DC869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9.劳动纠纷源头治理和多元化解机制优化研究</w:t>
      </w:r>
    </w:p>
    <w:p w14:paraId="266717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10.技能人才薪酬分配指引的实施效果与扩展应用研究</w:t>
      </w:r>
    </w:p>
    <w:p w14:paraId="7B5367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11.技能人才最低工资制度研究</w:t>
      </w:r>
    </w:p>
    <w:p w14:paraId="478504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12.人力资源社会保障基层现代化治理效能提升研究</w:t>
      </w:r>
    </w:p>
    <w:p w14:paraId="1991E202">
      <w:pPr>
        <w:numPr>
          <w:numId w:val="0"/>
        </w:numPr>
        <w:rPr>
          <w:rFonts w:ascii="黑体" w:hAnsi="黑体" w:cs="黑体"/>
          <w:color w:val="000000"/>
          <w:spacing w:val="0"/>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FENUU+FZXiaoBiaoSong-B05S">
    <w:altName w:val="宋体"/>
    <w:panose1 w:val="03000509000000000000"/>
    <w:charset w:val="86"/>
    <w:family w:val="modern"/>
    <w:pitch w:val="default"/>
    <w:sig w:usb0="00000000" w:usb1="00000000" w:usb2="00000000" w:usb3="00000000" w:csb0="00040000" w:csb1="00000000"/>
  </w:font>
  <w:font w:name="VRTIQP+KaiTi_GB2312">
    <w:altName w:val="宋体"/>
    <w:panose1 w:val="02010609030101010101"/>
    <w:charset w:val="86"/>
    <w:family w:val="modern"/>
    <w:pitch w:val="default"/>
    <w:sig w:usb0="00000000" w:usb1="00000000" w:usb2="00000000" w:usb3="00000000" w:csb0="00040000" w:csb1="00000000"/>
  </w:font>
  <w:font w:name="QRWBBK+FangSong_GB2312">
    <w:altName w:val="宋体"/>
    <w:panose1 w:val="02010609030101010101"/>
    <w:charset w:val="86"/>
    <w:family w:val="modern"/>
    <w:pitch w:val="default"/>
    <w:sig w:usb0="00000000" w:usb1="00000000" w:usb2="00000000" w:usb3="00000000" w:csb0="00040000" w:csb1="00000000"/>
  </w:font>
  <w:font w:name="GMOAHD+FZShuSong-Z01">
    <w:altName w:val="宋体"/>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84B069"/>
    <w:multiLevelType w:val="singleLevel"/>
    <w:tmpl w:val="B384B06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5B20F3"/>
    <w:rsid w:val="6C5B2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before="120" w:after="240"/>
      <w:jc w:val="both"/>
    </w:pPr>
    <w:rPr>
      <w:rFonts w:asciiTheme="minorHAnsi" w:hAnsiTheme="minorHAnsi" w:eastAsiaTheme="minorEastAsia" w:cstheme="minorBidi"/>
      <w:sz w:val="22"/>
      <w:szCs w:val="22"/>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7</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2026-03-20T07:29:00Z</dcterms:created>
  <dc:creator>徐红香</dc:creator>
  <cp:lastModifiedBy>徐红香</cp:lastModifiedBy>
  <dcterms:modified xsi:type="dcterms:W3CDTF">2026-03-20T07:40:35Z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4B97A21A6B724F6DB14F213CD48186A9_11</vt:lpwstr>
  </property>
  <property fmtid="{D5CDD505-2E9C-101B-9397-08002B2CF9AE}" pid="4" name="KSOTemplateDocerSaveRecord">
    <vt:lpwstr>eyJoZGlkIjoiZDY5ZGE3MWE1MzQ1NDYxYzAwMWMyNGNlZGM3Y2ZjODMiLCJ1c2VySWQiOiI0NTk4Mzk5MDUifQ==</vt:lpwstr>
  </property>
</Properties>
</file>